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6CB94" w14:textId="77777777" w:rsidR="0097652B" w:rsidRDefault="0097652B">
      <w:pPr>
        <w:keepNext/>
        <w:keepLines/>
        <w:pBdr>
          <w:top w:val="nil"/>
          <w:left w:val="nil"/>
          <w:bottom w:val="nil"/>
          <w:right w:val="nil"/>
          <w:between w:val="nil"/>
        </w:pBdr>
        <w:spacing w:before="40" w:after="0" w:line="259" w:lineRule="auto"/>
        <w:ind w:left="720" w:hanging="360"/>
        <w:rPr>
          <w:color w:val="366091"/>
          <w:sz w:val="26"/>
          <w:szCs w:val="26"/>
        </w:rPr>
      </w:pPr>
    </w:p>
    <w:p w14:paraId="00000001" w14:textId="0600086D" w:rsidR="00064B07" w:rsidRDefault="00232075">
      <w:pPr>
        <w:keepNext/>
        <w:keepLines/>
        <w:pBdr>
          <w:top w:val="nil"/>
          <w:left w:val="nil"/>
          <w:bottom w:val="nil"/>
          <w:right w:val="nil"/>
          <w:between w:val="nil"/>
        </w:pBdr>
        <w:spacing w:before="40" w:after="0" w:line="259" w:lineRule="auto"/>
        <w:ind w:left="720" w:hanging="360"/>
        <w:rPr>
          <w:color w:val="366091"/>
          <w:sz w:val="26"/>
          <w:szCs w:val="26"/>
        </w:rPr>
      </w:pPr>
      <w:r>
        <w:rPr>
          <w:color w:val="366091"/>
          <w:sz w:val="26"/>
          <w:szCs w:val="26"/>
        </w:rPr>
        <w:t>Allegato 1.</w:t>
      </w:r>
      <w:r>
        <w:rPr>
          <w:color w:val="366091"/>
          <w:sz w:val="26"/>
          <w:szCs w:val="26"/>
        </w:rPr>
        <w:tab/>
        <w:t>Principali definizioni applicabili al bando</w:t>
      </w:r>
    </w:p>
    <w:p w14:paraId="4A4FEA1B" w14:textId="77777777" w:rsidR="00BD4FDE" w:rsidRDefault="00BD4FDE">
      <w:pPr>
        <w:keepNext/>
        <w:keepLines/>
        <w:pBdr>
          <w:top w:val="nil"/>
          <w:left w:val="nil"/>
          <w:bottom w:val="nil"/>
          <w:right w:val="nil"/>
          <w:between w:val="nil"/>
        </w:pBdr>
        <w:spacing w:before="40" w:after="0" w:line="259" w:lineRule="auto"/>
        <w:ind w:left="720" w:hanging="360"/>
        <w:rPr>
          <w:color w:val="366091"/>
          <w:sz w:val="26"/>
          <w:szCs w:val="26"/>
        </w:rPr>
      </w:pPr>
      <w:bookmarkStart w:id="0" w:name="_GoBack"/>
      <w:bookmarkEnd w:id="0"/>
    </w:p>
    <w:p w14:paraId="3C864489" w14:textId="77777777" w:rsidR="00BD4FDE" w:rsidRPr="00224D45" w:rsidRDefault="00BD4FDE" w:rsidP="00BD4FDE">
      <w:pPr>
        <w:jc w:val="both"/>
        <w:rPr>
          <w:rFonts w:asciiTheme="minorHAnsi" w:hAnsiTheme="minorHAnsi" w:cstheme="minorHAnsi"/>
          <w:b/>
        </w:rPr>
      </w:pPr>
      <w:r w:rsidRPr="00224D45">
        <w:rPr>
          <w:rFonts w:asciiTheme="minorHAnsi" w:hAnsiTheme="minorHAnsi" w:cstheme="minorHAnsi"/>
          <w:b/>
        </w:rPr>
        <w:t xml:space="preserve">Avviso pubblico per la presentazione di progetti di </w:t>
      </w:r>
      <w:proofErr w:type="spellStart"/>
      <w:r w:rsidRPr="00224D45">
        <w:rPr>
          <w:rFonts w:asciiTheme="minorHAnsi" w:hAnsiTheme="minorHAnsi" w:cstheme="minorHAnsi"/>
          <w:b/>
        </w:rPr>
        <w:t>proof</w:t>
      </w:r>
      <w:proofErr w:type="spellEnd"/>
      <w:r w:rsidRPr="00224D45">
        <w:rPr>
          <w:rFonts w:asciiTheme="minorHAnsi" w:hAnsiTheme="minorHAnsi" w:cstheme="minorHAnsi"/>
          <w:b/>
        </w:rPr>
        <w:t xml:space="preserve"> of </w:t>
      </w:r>
      <w:proofErr w:type="spellStart"/>
      <w:r w:rsidRPr="00224D45">
        <w:rPr>
          <w:rFonts w:asciiTheme="minorHAnsi" w:hAnsiTheme="minorHAnsi" w:cstheme="minorHAnsi"/>
          <w:b/>
        </w:rPr>
        <w:t>concept</w:t>
      </w:r>
      <w:proofErr w:type="spellEnd"/>
      <w:r w:rsidRPr="00224D45">
        <w:rPr>
          <w:rFonts w:asciiTheme="minorHAnsi" w:hAnsiTheme="minorHAnsi" w:cstheme="minorHAnsi"/>
          <w:b/>
        </w:rPr>
        <w:t xml:space="preserve"> (</w:t>
      </w:r>
      <w:proofErr w:type="spellStart"/>
      <w:r w:rsidRPr="00224D45">
        <w:rPr>
          <w:rFonts w:asciiTheme="minorHAnsi" w:hAnsiTheme="minorHAnsi" w:cstheme="minorHAnsi"/>
          <w:b/>
        </w:rPr>
        <w:t>PoC</w:t>
      </w:r>
      <w:proofErr w:type="spellEnd"/>
      <w:r w:rsidRPr="00224D45">
        <w:rPr>
          <w:rFonts w:asciiTheme="minorHAnsi" w:hAnsiTheme="minorHAnsi" w:cstheme="minorHAnsi"/>
          <w:b/>
        </w:rPr>
        <w:t xml:space="preserve">) e prototipazione per gli Organismi di ricerca e diffusione della conoscenza (tipo 2), </w:t>
      </w:r>
      <w:r w:rsidRPr="005B7E14">
        <w:rPr>
          <w:rFonts w:asciiTheme="minorHAnsi" w:hAnsiTheme="minorHAnsi"/>
          <w:b/>
        </w:rPr>
        <w:t xml:space="preserve">bandi a cascata’ da finanziare nell’ambito del PNRR, Misura 4 Componente 2 Investimento 1.4–Programma di ricerca e innovazione CN “National </w:t>
      </w:r>
      <w:proofErr w:type="spellStart"/>
      <w:r w:rsidRPr="005B7E14">
        <w:rPr>
          <w:rFonts w:asciiTheme="minorHAnsi" w:hAnsiTheme="minorHAnsi"/>
          <w:b/>
        </w:rPr>
        <w:t>Biodiversity</w:t>
      </w:r>
      <w:proofErr w:type="spellEnd"/>
      <w:r w:rsidRPr="005B7E14">
        <w:rPr>
          <w:rFonts w:asciiTheme="minorHAnsi" w:hAnsiTheme="minorHAnsi"/>
          <w:b/>
        </w:rPr>
        <w:t xml:space="preserve"> Future Center – NBFC”, Progetto CN00000033”, finanziato dall’Unione europea – </w:t>
      </w:r>
      <w:proofErr w:type="spellStart"/>
      <w:r w:rsidRPr="005B7E14">
        <w:rPr>
          <w:rFonts w:asciiTheme="minorHAnsi" w:hAnsiTheme="minorHAnsi"/>
          <w:b/>
        </w:rPr>
        <w:t>NextGenerationEU</w:t>
      </w:r>
      <w:proofErr w:type="spellEnd"/>
      <w:r>
        <w:rPr>
          <w:rFonts w:asciiTheme="minorHAnsi" w:hAnsiTheme="minorHAnsi"/>
          <w:b/>
        </w:rPr>
        <w:t xml:space="preserve"> – CUP </w:t>
      </w:r>
      <w:r w:rsidRPr="007675FA">
        <w:rPr>
          <w:rFonts w:asciiTheme="minorHAnsi" w:hAnsiTheme="minorHAnsi"/>
          <w:b/>
        </w:rPr>
        <w:t>H43C22000530001</w:t>
      </w:r>
    </w:p>
    <w:p w14:paraId="00000004" w14:textId="77777777" w:rsidR="00064B07" w:rsidRDefault="00064B07">
      <w:pPr>
        <w:jc w:val="both"/>
        <w:rPr>
          <w:b/>
        </w:rPr>
      </w:pPr>
    </w:p>
    <w:p w14:paraId="00000027" w14:textId="77777777" w:rsidR="00064B07" w:rsidRDefault="00232075" w:rsidP="0097652B">
      <w:pPr>
        <w:jc w:val="both"/>
      </w:pPr>
      <w:r>
        <w:rPr>
          <w:b/>
        </w:rPr>
        <w:t>Organismo di ricerca (o Organismo di ricerca e di diffusione delle conoscenze):</w:t>
      </w:r>
      <w:r>
        <w:t xml:space="preserv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w:t>
      </w:r>
    </w:p>
    <w:p w14:paraId="00000028" w14:textId="77777777" w:rsidR="00064B07" w:rsidRDefault="00232075" w:rsidP="0097652B">
      <w:pPr>
        <w:spacing w:after="0" w:line="259" w:lineRule="auto"/>
        <w:jc w:val="both"/>
      </w:pPr>
      <w:r>
        <w:t>Gli organismi di ricerca e di diffusione delle conoscenze («organismi di ricerca») sono beneficiari di aiuti di Stato se il finanziamento pubblico che ricevono soddisfa tutte le condizioni di cui all’articolo 107, paragrafo 1, del trattato. In conformità con la giurisprudenza della Corte di giustizia, il beneficiario deve rispondere alla definizione di impresa e tale qualifica dipende dal fatto di svolgere un’attività economica, cioè un’attività consistente nell’offrire prodotti e servizi su un dato mercato. La Commissione considera che, generalmente, le seguenti attività rivestono carattere non economico.</w:t>
      </w:r>
    </w:p>
    <w:p w14:paraId="00000029" w14:textId="77777777" w:rsidR="00064B07" w:rsidRDefault="00232075">
      <w:pPr>
        <w:spacing w:after="0" w:line="259" w:lineRule="auto"/>
        <w:jc w:val="both"/>
      </w:pPr>
      <w:r>
        <w:t>a) principali attività degli organismi di ricerca e delle infrastrutture di ricerca, in particolare:</w:t>
      </w:r>
    </w:p>
    <w:p w14:paraId="0000002A" w14:textId="77777777" w:rsidR="00064B07" w:rsidRDefault="00232075">
      <w:pPr>
        <w:spacing w:after="0" w:line="259" w:lineRule="auto"/>
        <w:jc w:val="both"/>
      </w:pPr>
      <w:r>
        <w:t>— le attività di formazione volte ad ottenere risorse umane più numerose e meglio qualificate. In linea con la giurisprudenza e la prassi decisionale della Commissione, e come spiegato nella comunicazione relativa alla nozione di aiuto di Stato e nella comunicazione relativa ai SIEG, l’istruzione pubblica organizzata nell’ambito del sistema scolastico nazionale, prevalentemente o totalmente finanziata dallo Stato e controllata dallo Stato, è considerata attività non economica,</w:t>
      </w:r>
    </w:p>
    <w:p w14:paraId="0000002B" w14:textId="77777777" w:rsidR="00064B07" w:rsidRDefault="00232075">
      <w:pPr>
        <w:spacing w:after="0" w:line="259" w:lineRule="auto"/>
        <w:jc w:val="both"/>
      </w:pPr>
      <w:r>
        <w:t>— le attività di R&amp;S svolte in maniera indipendente e volte all’acquisizione di maggiori conoscenze e di una migliore comprensione, inclusa la R&amp;S collaborativa, nel cui ambito un organismo di ricerca o l’infrastruttura di ricerca intraprendono un’effettiva collaborazione. La fornitura di servizi di R&amp;S e le attività di R&amp;S svolte per conto di imprese non sono considerate attività R&amp;S indipendenti.</w:t>
      </w:r>
    </w:p>
    <w:p w14:paraId="0000002C" w14:textId="77777777" w:rsidR="00064B07" w:rsidRDefault="00232075">
      <w:pPr>
        <w:spacing w:after="0" w:line="259" w:lineRule="auto"/>
        <w:jc w:val="both"/>
      </w:pPr>
      <w:r>
        <w:t>— l’ampia diffusione dei risultati della ricerca su base non esclusiva e non discriminatoria, ad esempio attraverso l’insegnamento, le banche dati ad accesso aperto, le pubblicazioni aperte o il software open source.</w:t>
      </w:r>
    </w:p>
    <w:p w14:paraId="0000002D" w14:textId="77777777" w:rsidR="00064B07" w:rsidRDefault="00232075">
      <w:pPr>
        <w:spacing w:after="0" w:line="259" w:lineRule="auto"/>
        <w:jc w:val="both"/>
      </w:pPr>
      <w:r>
        <w:lastRenderedPageBreak/>
        <w:t>b) le attività di trasferimento di conoscenze, svolte dall’organismo di ricerca o dall’infrastruttura di ricerca (compresi i rispettivi dipartimenti o filiali), o congiuntamente con altri organismi o per loro conto, e laddove tutti gli utili provenienti da dette attività siano reinvestiti nelle attività primarie dell’organismo di ricerca o dell’infrastruttura di ricerca. Il carattere non economico di tali attività non viene meno se la prestazione dei servizi corrispondenti è appaltata a terzi con procedura di gara aperta.</w:t>
      </w:r>
    </w:p>
    <w:p w14:paraId="400932BF" w14:textId="77777777" w:rsidR="0097652B" w:rsidRDefault="0097652B">
      <w:pPr>
        <w:spacing w:after="0" w:line="259" w:lineRule="auto"/>
        <w:jc w:val="both"/>
      </w:pPr>
    </w:p>
    <w:p w14:paraId="0235C31D" w14:textId="77777777" w:rsidR="0097652B" w:rsidRDefault="0097652B">
      <w:pPr>
        <w:spacing w:after="0" w:line="259" w:lineRule="auto"/>
        <w:jc w:val="both"/>
      </w:pPr>
    </w:p>
    <w:p w14:paraId="0000002E" w14:textId="3BECB057" w:rsidR="00064B07" w:rsidRDefault="00232075">
      <w:pPr>
        <w:spacing w:after="0" w:line="259" w:lineRule="auto"/>
        <w:jc w:val="both"/>
      </w:pPr>
      <w:r>
        <w:t>Se un organismo di ricerca è utilizzato tanto per attività economiche che non economiche, i finanziamenti pubblici rientrano nelle norme in materia di aiuti di Stato solo nella misura in cui coprono i costi connessi ad attività economiche. Quando un organismo di ricerca o un’infrastruttura di ricerca sono finanziati con fondi sia pubblici sia privati, la Commissione riterrà che tale sia il caso se il finanziamento pubblico assegnato alla pertinente entità per un determinato periodo contabile è superiore ai costi delle attività non economiche sostenute in quel periodo. Se l’organismo è utilizzato quasi esclusivamente per attività di natura non economica, il relativo finanziamento può esulare completamente dalle norme in materia di aiuti di Stato, a condizione che l’utilizzo economico rimanga puramente accessorio, ossia corrisponda a un’attività necessaria e direttamente collegata al funzionamento dell’organismo di ricerca oppure intrinsecamente legata al suo uso non economico principale, e che abbia portata limitata. Ai fini della presente disciplina, la Commissione riterrà che tale sia il caso laddove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 dell’entità.</w:t>
      </w:r>
    </w:p>
    <w:p w14:paraId="0000002F" w14:textId="77777777" w:rsidR="00064B07" w:rsidRDefault="00064B07">
      <w:pPr>
        <w:jc w:val="both"/>
      </w:pPr>
    </w:p>
    <w:p w14:paraId="00000030" w14:textId="77777777" w:rsidR="00064B07" w:rsidRDefault="00232075">
      <w:pPr>
        <w:jc w:val="both"/>
      </w:pPr>
      <w:r>
        <w:rPr>
          <w:b/>
        </w:rPr>
        <w:t>Ricerca industriale</w:t>
      </w:r>
      <w:r>
        <w:t>: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è necessario ai fini della ricerca industriale, in particolare ai fini della convalida di tecnologie generiche.</w:t>
      </w:r>
    </w:p>
    <w:p w14:paraId="00000031" w14:textId="77777777" w:rsidR="00064B07" w:rsidRDefault="00232075">
      <w:pPr>
        <w:jc w:val="both"/>
      </w:pPr>
      <w:r>
        <w:rPr>
          <w:b/>
        </w:rPr>
        <w:t>Sviluppo sperimentale:</w:t>
      </w:r>
      <w:r>
        <w:t xml:space="preserve">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è l'apporto di ulteriori miglioramenti tecnici a prodotti, processi e servizi che non sono sostanzialmente definitivi. Lo sviluppo sperimentale può 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w:t>
      </w:r>
      <w:proofErr w:type="gramStart"/>
      <w:r>
        <w:t>a  prodotti</w:t>
      </w:r>
      <w:proofErr w:type="gramEnd"/>
      <w:r>
        <w:t xml:space="preserve">, linee di produzione, processi di </w:t>
      </w:r>
      <w:r>
        <w:lastRenderedPageBreak/>
        <w:t>fabbricazione e servizi esistenti e ad altre operazioni in corso, anche quando tali modifiche rappresentino miglioramenti.</w:t>
      </w:r>
    </w:p>
    <w:p w14:paraId="634A8F38" w14:textId="77777777" w:rsidR="0097652B" w:rsidRDefault="00232075">
      <w:pPr>
        <w:jc w:val="both"/>
      </w:pPr>
      <w:r>
        <w:rPr>
          <w:b/>
        </w:rPr>
        <w:t>Collaborazione effettiva:</w:t>
      </w:r>
      <w:r>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w:t>
      </w:r>
    </w:p>
    <w:p w14:paraId="00000032" w14:textId="638AEA47" w:rsidR="00064B07" w:rsidRDefault="00232075">
      <w:pPr>
        <w:jc w:val="both"/>
        <w:rPr>
          <w:highlight w:val="white"/>
        </w:rPr>
      </w:pPr>
      <w:r>
        <w:rPr>
          <w:highlight w:val="white"/>
        </w:rPr>
        <w:t>alla sua attuazione e ne condividono i rischi e i risultati. Una o più parti possono sostenere per intero i costi del progetto e quindi sollevare le altre parti dai relativi rischi finanziari. La ricerca contrattuale e la prestazione di servizi di ricerca non sono considerate forme di collaborazione ai fini della definizione del partenariato.</w:t>
      </w:r>
    </w:p>
    <w:p w14:paraId="00000033" w14:textId="77777777" w:rsidR="00064B07" w:rsidRDefault="00232075">
      <w:pPr>
        <w:spacing w:before="240" w:after="240"/>
        <w:jc w:val="both"/>
        <w:rPr>
          <w:highlight w:val="white"/>
        </w:rPr>
      </w:pPr>
      <w:proofErr w:type="spellStart"/>
      <w:r>
        <w:rPr>
          <w:b/>
          <w:highlight w:val="white"/>
        </w:rPr>
        <w:t>Hub</w:t>
      </w:r>
      <w:proofErr w:type="spellEnd"/>
      <w:r>
        <w:rPr>
          <w:b/>
          <w:highlight w:val="white"/>
        </w:rPr>
        <w:t xml:space="preserve">: </w:t>
      </w:r>
      <w:r>
        <w:rPr>
          <w:highlight w:val="white"/>
        </w:rPr>
        <w:t xml:space="preserve">Soggetto attuatore, responsabile dell’avvio, dell’attuazione e della gestione dell’Ecosistema dell’Innovazione. In particolare, l’art.1, comma 4, </w:t>
      </w:r>
      <w:proofErr w:type="spellStart"/>
      <w:r>
        <w:rPr>
          <w:highlight w:val="white"/>
        </w:rPr>
        <w:t>lett</w:t>
      </w:r>
      <w:proofErr w:type="spellEnd"/>
      <w:r>
        <w:rPr>
          <w:highlight w:val="white"/>
        </w:rPr>
        <w:t>. o) del decreto-legge 31 maggio 2021, n. 77, convertito con modificazioni dalla legge 29 luglio 2021 n. 108, indica che i soggetti attuatori sono: “i soggetti pubblici o privati che provvedono alla realizzazione degli interventi previsti dal PNRR”.</w:t>
      </w:r>
    </w:p>
    <w:p w14:paraId="00000034" w14:textId="77777777" w:rsidR="00064B07" w:rsidRDefault="00232075" w:rsidP="0097652B">
      <w:pPr>
        <w:jc w:val="both"/>
      </w:pPr>
      <w:proofErr w:type="spellStart"/>
      <w:r>
        <w:rPr>
          <w:b/>
        </w:rPr>
        <w:t>Spoke</w:t>
      </w:r>
      <w:proofErr w:type="spellEnd"/>
      <w:r>
        <w:t xml:space="preserve">: Soggetto realizzatore, soggetto pubblico o operatore economico privato coinvolto nella realizzazione del Programma di R&amp;I ed individuato nel rispetto della normativa comunitaria e nazionale applicabile.; Esso svolge direttamente parte delle attività ad essi attribuite dal Progetto e si avvale di altri soggetti per lo svolgimento delle restanti attività: (i) i soggetti affiliati allo </w:t>
      </w:r>
      <w:proofErr w:type="spellStart"/>
      <w:r>
        <w:t>Spoke</w:t>
      </w:r>
      <w:proofErr w:type="spellEnd"/>
      <w:r>
        <w:t>, già noti (ii) soggetti terzi da individuare mediante i bandi a cascata di cui all’art. 5 dell’Avviso del Ministero dell’Università e della Ricerca del 30 dicembre 2021 n. 3277 finalizzato alla creazione di dodici Ecosistemi dell’innovazione sul territorio nazionale.</w:t>
      </w:r>
    </w:p>
    <w:p w14:paraId="00000035" w14:textId="77777777" w:rsidR="00064B07" w:rsidRDefault="00232075" w:rsidP="0097652B">
      <w:pPr>
        <w:jc w:val="both"/>
      </w:pPr>
      <w:r>
        <w:rPr>
          <w:b/>
        </w:rPr>
        <w:t>Intensità di aiuto:</w:t>
      </w:r>
      <w:r>
        <w:t xml:space="preserve"> importo lordo dell'aiuto espresso come percentuale dei costi ammissibili, al lordo di imposte o altri oneri.</w:t>
      </w:r>
    </w:p>
    <w:p w14:paraId="00000036" w14:textId="77777777" w:rsidR="00064B07" w:rsidRDefault="00232075" w:rsidP="0097652B">
      <w:pPr>
        <w:jc w:val="both"/>
      </w:pPr>
      <w:r>
        <w:rPr>
          <w:b/>
        </w:rPr>
        <w:t>Avvio dei lavori:</w:t>
      </w:r>
      <w:r>
        <w:t xml:space="preserve"> la data del primo impegno giuridicamente vincolante ad ordinare attrezzature o di qualsiasi altro impegno che renda irreversibile l'investimento, a seconda di quale condizione si verifichi prima.</w:t>
      </w:r>
    </w:p>
    <w:p w14:paraId="00000037" w14:textId="77777777" w:rsidR="00064B07" w:rsidRDefault="00064B07">
      <w:pPr>
        <w:jc w:val="both"/>
      </w:pPr>
    </w:p>
    <w:sectPr w:rsidR="00064B07">
      <w:headerReference w:type="default" r:id="rId7"/>
      <w:footerReference w:type="default" r:id="rId8"/>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B3AF1" w14:textId="77777777" w:rsidR="002B0DD6" w:rsidRDefault="002B0DD6" w:rsidP="0097652B">
      <w:pPr>
        <w:spacing w:after="0" w:line="240" w:lineRule="auto"/>
      </w:pPr>
      <w:r>
        <w:separator/>
      </w:r>
    </w:p>
  </w:endnote>
  <w:endnote w:type="continuationSeparator" w:id="0">
    <w:p w14:paraId="2D582FEA" w14:textId="77777777" w:rsidR="002B0DD6" w:rsidRDefault="002B0DD6" w:rsidP="0097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B3820" w14:textId="4F549B42" w:rsidR="0097652B" w:rsidRDefault="0097652B">
    <w:pPr>
      <w:pStyle w:val="Pidipagina"/>
    </w:pPr>
  </w:p>
  <w:p w14:paraId="5A2D55FB" w14:textId="6310DA5E" w:rsidR="0097652B" w:rsidRDefault="0097652B">
    <w:pPr>
      <w:pStyle w:val="Pidipagina"/>
    </w:pPr>
    <w:r>
      <w:rPr>
        <w:noProof/>
        <w:color w:val="000000"/>
      </w:rPr>
      <w:drawing>
        <wp:inline distT="0" distB="0" distL="0" distR="0" wp14:anchorId="16F7C715" wp14:editId="3A9D2D06">
          <wp:extent cx="1767840" cy="469265"/>
          <wp:effectExtent l="0" t="0" r="3810" b="6985"/>
          <wp:docPr id="226" name="Immagine 226" descr="Immagine che contiene arte&#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magine 226" descr="Immagine che contiene arte&#10;&#10;Descrizione generata automaticamente con attendibilità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469265"/>
                  </a:xfrm>
                  <a:prstGeom prst="rect">
                    <a:avLst/>
                  </a:prstGeom>
                  <a:noFill/>
                </pic:spPr>
              </pic:pic>
            </a:graphicData>
          </a:graphic>
        </wp:inline>
      </w:drawing>
    </w:r>
    <w:r>
      <w:t xml:space="preserve">                                                                                                      </w:t>
    </w:r>
    <w:r>
      <w:rPr>
        <w:noProof/>
      </w:rPr>
      <w:drawing>
        <wp:inline distT="0" distB="0" distL="0" distR="0" wp14:anchorId="18963E8A" wp14:editId="56E9E74F">
          <wp:extent cx="791845" cy="861695"/>
          <wp:effectExtent l="0" t="0" r="8255" b="0"/>
          <wp:docPr id="228" name="Immagine 228" descr="Immagine che contiene testo, Carattere,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magine 228" descr="Immagine che contiene testo, Carattere, poster,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91845" cy="86169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20A94" w14:textId="77777777" w:rsidR="002B0DD6" w:rsidRDefault="002B0DD6" w:rsidP="0097652B">
      <w:pPr>
        <w:spacing w:after="0" w:line="240" w:lineRule="auto"/>
      </w:pPr>
      <w:r>
        <w:separator/>
      </w:r>
    </w:p>
  </w:footnote>
  <w:footnote w:type="continuationSeparator" w:id="0">
    <w:p w14:paraId="34975416" w14:textId="77777777" w:rsidR="002B0DD6" w:rsidRDefault="002B0DD6" w:rsidP="00976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9627B" w14:textId="653765F1" w:rsidR="0097652B" w:rsidRDefault="0097652B">
    <w:pPr>
      <w:pStyle w:val="Intestazione"/>
    </w:pPr>
    <w:r w:rsidRPr="0097652B">
      <w:rPr>
        <w:rFonts w:ascii="Times New Roman" w:eastAsia="Times New Roman" w:hAnsi="Times New Roman" w:cs="Times New Roman"/>
        <w:noProof/>
        <w:sz w:val="24"/>
        <w:szCs w:val="24"/>
      </w:rPr>
      <w:drawing>
        <wp:inline distT="0" distB="0" distL="0" distR="0" wp14:anchorId="5D9C3C78" wp14:editId="4DC8B5BD">
          <wp:extent cx="6119497" cy="589915"/>
          <wp:effectExtent l="0" t="0" r="0" b="635"/>
          <wp:docPr id="225"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tringa pnrr MUR.bmp"/>
                  <pic:cNvPicPr/>
                </pic:nvPicPr>
                <pic:blipFill>
                  <a:blip r:embed="rId1">
                    <a:extLst>
                      <a:ext uri="{28A0092B-C50C-407E-A947-70E740481C1C}">
                        <a14:useLocalDpi xmlns:a14="http://schemas.microsoft.com/office/drawing/2010/main" val="0"/>
                      </a:ext>
                    </a:extLst>
                  </a:blip>
                  <a:stretch>
                    <a:fillRect/>
                  </a:stretch>
                </pic:blipFill>
                <pic:spPr>
                  <a:xfrm>
                    <a:off x="0" y="0"/>
                    <a:ext cx="6134657" cy="591376"/>
                  </a:xfrm>
                  <a:prstGeom prst="rect">
                    <a:avLst/>
                  </a:prstGeom>
                </pic:spPr>
              </pic:pic>
            </a:graphicData>
          </a:graphic>
        </wp:inline>
      </w:drawing>
    </w:r>
  </w:p>
  <w:p w14:paraId="2CDBA5C2" w14:textId="77777777" w:rsidR="0097652B" w:rsidRDefault="0097652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07"/>
    <w:rsid w:val="00064B07"/>
    <w:rsid w:val="00232075"/>
    <w:rsid w:val="002B0DD6"/>
    <w:rsid w:val="00805E74"/>
    <w:rsid w:val="0097652B"/>
    <w:rsid w:val="00BD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F7248"/>
  <w15:docId w15:val="{3D563E9D-AC57-B743-A5C5-51D77714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link w:val="Titolo2Carattere"/>
    <w:uiPriority w:val="9"/>
    <w:semiHidden/>
    <w:unhideWhenUsed/>
    <w:qFormat/>
    <w:rsid w:val="00E500B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rsid w:val="00E500BB"/>
    <w:rPr>
      <w:rFonts w:asciiTheme="majorHAnsi" w:eastAsiaTheme="majorEastAsia" w:hAnsiTheme="majorHAnsi" w:cstheme="majorBidi"/>
      <w:color w:val="365F91" w:themeColor="accent1" w:themeShade="BF"/>
      <w:sz w:val="26"/>
      <w:szCs w:val="26"/>
      <w:lang w:eastAsia="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9765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652B"/>
  </w:style>
  <w:style w:type="paragraph" w:styleId="Pidipagina">
    <w:name w:val="footer"/>
    <w:basedOn w:val="Normale"/>
    <w:link w:val="PidipaginaCarattere"/>
    <w:uiPriority w:val="99"/>
    <w:unhideWhenUsed/>
    <w:rsid w:val="009765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6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6us2mnKTMkWUJXiPYB5naPJd+Q==">CgMxLjAyCGguZ2pkZ3hzOAByITFyZVRMejFXUFVnSjc2RWc1YzRPTVlDY04tQkVVT0NaQw==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1413</Words>
  <Characters>8055</Characters>
  <Application>Microsoft Office Word</Application>
  <DocSecurity>0</DocSecurity>
  <Lines>67</Lines>
  <Paragraphs>18</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claudia.gloazzo@unimib.it</dc:creator>
  <cp:lastModifiedBy>teresa.gallicchio@unimib.it</cp:lastModifiedBy>
  <cp:revision>5</cp:revision>
  <dcterms:created xsi:type="dcterms:W3CDTF">2023-07-03T13:35:00Z</dcterms:created>
  <dcterms:modified xsi:type="dcterms:W3CDTF">2023-11-07T11:19:00Z</dcterms:modified>
</cp:coreProperties>
</file>